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29</w:t>
      </w:r>
      <w:r>
        <w:rPr>
          <w:b/>
          <w:sz w:val="44"/>
          <w:szCs w:val="44"/>
          <w:u w:val="single"/>
        </w:rPr>
        <w:t>-</w:t>
      </w:r>
      <w:r>
        <w:rPr>
          <w:b/>
          <w:sz w:val="44"/>
          <w:szCs w:val="44"/>
          <w:u w:val="single"/>
          <w:lang w:val="ru-RU"/>
        </w:rPr>
        <w:t>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сентября по 18-е октября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5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549" w:type="dxa"/>
        <w:tblInd w:w="-235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11139"/>
        <w:gridCol w:w="134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6091" w:themeFill="accent1" w:themeFillShade="B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FF"/>
                <w:sz w:val="44"/>
                <w:szCs w:val="44"/>
              </w:rPr>
            </w:pPr>
            <w:r>
              <w:rPr>
                <w:rFonts w:hint="default"/>
                <w:b/>
                <w:color w:val="FFFFFF" w:themeColor="background1"/>
                <w:sz w:val="40"/>
                <w:szCs w:val="40"/>
                <w:lang w:val="ru-RU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  <w:r>
              <w:rPr>
                <w:rFonts w:hint="default" w:cs="Times New Roman"/>
                <w:b/>
                <w:sz w:val="44"/>
                <w:szCs w:val="44"/>
                <w:lang w:val="ru-RU" w:eastAsia="en-US" w:bidi="ar-SA"/>
              </w:rPr>
              <w:t>4 октября суббота</w:t>
            </w:r>
          </w:p>
        </w:tc>
        <w:tc>
          <w:tcPr>
            <w:tcW w:w="11139" w:type="dxa"/>
            <w:tcBorders>
              <w:top w:val="single" w:color="000000" w:sz="1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36"/>
                <w:szCs w:val="36"/>
                <w:lang w:val="ru-RU" w:eastAsia="zh-CN" w:bidi="ar-SA"/>
              </w:rPr>
              <w:t>П А Н И Х И Д А</w:t>
            </w:r>
            <w:r>
              <w:rPr>
                <w:rFonts w:hint="default" w:cs="Arial"/>
                <w:b/>
                <w:color w:val="C00000"/>
                <w:sz w:val="62"/>
                <w:szCs w:val="62"/>
                <w:lang w:val="ru-RU" w:eastAsia="zh-CN" w:bidi="ar-SA"/>
              </w:rPr>
              <w:t xml:space="preserve"> </w:t>
            </w:r>
          </w:p>
        </w:tc>
        <w:tc>
          <w:tcPr>
            <w:tcW w:w="1345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306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</w:p>
        </w:tc>
        <w:tc>
          <w:tcPr>
            <w:tcW w:w="1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auto"/>
                <w:sz w:val="72"/>
                <w:szCs w:val="72"/>
                <w:lang w:val="ru-RU"/>
              </w:rPr>
              <w:t>Пророка</w:t>
            </w: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Ионы и других святых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3065" w:type="dxa"/>
            <w:vMerge w:val="restart"/>
            <w:tcBorders>
              <w:right w:val="single" w:color="17365D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5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октября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139" w:type="dxa"/>
            <w:tcBorders>
              <w:top w:val="single" w:color="000000" w:sz="2" w:space="0"/>
              <w:left w:val="single" w:color="17365D" w:sz="4" w:space="0"/>
              <w:bottom w:val="single" w:color="000000" w:sz="2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</w:pPr>
            <w:r>
              <w:rPr>
                <w:b/>
                <w:color w:val="000000"/>
                <w:sz w:val="40"/>
                <w:szCs w:val="40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0"/>
                <w:szCs w:val="40"/>
                <w:lang w:val="ru-RU"/>
              </w:rPr>
              <w:t xml:space="preserve"> святым по прошению прихожан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17365D" w:sz="4" w:space="0"/>
              <w:bottom w:val="single" w:color="000000" w:sz="2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3065" w:type="dxa"/>
            <w:vMerge w:val="continue"/>
            <w:tcBorders>
              <w:right w:val="single" w:color="17365D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113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bookmarkStart w:id="0" w:name="_GoBack"/>
            <w:bookmarkEnd w:id="0"/>
            <w:r>
              <w:rPr>
                <w:b/>
                <w:color w:val="auto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11 октября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rFonts w:hint="default" w:cs="Times New Roman"/>
                <w:b/>
                <w:sz w:val="44"/>
                <w:szCs w:val="44"/>
                <w:lang w:val="ru-RU" w:eastAsia="en-US" w:bidi="ar-SA"/>
              </w:rPr>
              <w:t>суббота</w:t>
            </w:r>
          </w:p>
        </w:tc>
        <w:tc>
          <w:tcPr>
            <w:tcW w:w="11139" w:type="dxa"/>
            <w:tcBorders>
              <w:top w:val="single" w:color="000000" w:sz="1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36"/>
                <w:szCs w:val="36"/>
                <w:lang w:val="ru-RU" w:eastAsia="zh-CN" w:bidi="ar-SA"/>
              </w:rPr>
              <w:t>П А Н И Х И Д А</w:t>
            </w:r>
            <w:r>
              <w:rPr>
                <w:rFonts w:hint="default" w:cs="Arial"/>
                <w:b/>
                <w:color w:val="C00000"/>
                <w:sz w:val="62"/>
                <w:szCs w:val="62"/>
                <w:lang w:val="ru-RU" w:eastAsia="zh-CN" w:bidi="ar-SA"/>
              </w:rPr>
              <w:t xml:space="preserve"> </w:t>
            </w:r>
          </w:p>
        </w:tc>
        <w:tc>
          <w:tcPr>
            <w:tcW w:w="1345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06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1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BF1DE" w:themeFill="accent3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 w:val="0"/>
                <w:bCs/>
                <w:color w:val="auto"/>
                <w:sz w:val="44"/>
                <w:szCs w:val="44"/>
                <w:lang w:val="ru-RU" w:eastAsia="zh-CN" w:bidi="ar-SA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72"/>
                <w:szCs w:val="72"/>
                <w:lang w:val="ru-RU" w:eastAsia="zh-CN" w:bidi="ar-SA"/>
              </w:rPr>
              <w:t>Прп. Кириака Отшельника</w:t>
            </w:r>
          </w:p>
        </w:tc>
        <w:tc>
          <w:tcPr>
            <w:tcW w:w="1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3065" w:type="dxa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12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октября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bCs w:val="0"/>
                <w:color w:val="auto"/>
                <w:sz w:val="60"/>
                <w:szCs w:val="60"/>
                <w:lang w:val="ru-RU" w:eastAsia="zh-CN"/>
              </w:rPr>
            </w:pPr>
            <w:r>
              <w:rPr>
                <w:b/>
                <w:color w:val="000000"/>
                <w:sz w:val="40"/>
                <w:szCs w:val="40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0"/>
                <w:szCs w:val="40"/>
                <w:lang w:val="ru-RU"/>
              </w:rPr>
              <w:t xml:space="preserve"> святым по прошению прихожан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3065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11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EBF1DE" w:themeFill="accent3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/>
                <w:b/>
                <w:color w:val="auto"/>
                <w:sz w:val="72"/>
                <w:szCs w:val="72"/>
                <w:lang w:val="ru-RU" w:eastAsia="zh-CN"/>
              </w:rPr>
              <w:t>Литургия</w:t>
            </w:r>
          </w:p>
        </w:tc>
        <w:tc>
          <w:tcPr>
            <w:tcW w:w="1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30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13 октября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rFonts w:hint="default" w:cs="Times New Roman"/>
                <w:b/>
                <w:sz w:val="44"/>
                <w:szCs w:val="44"/>
                <w:lang w:val="ru-RU" w:eastAsia="en-US" w:bidi="ar-SA"/>
              </w:rPr>
              <w:t>понедельник</w:t>
            </w:r>
          </w:p>
        </w:tc>
        <w:tc>
          <w:tcPr>
            <w:tcW w:w="111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C7DAF1" w:themeFill="text2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 w:val="0"/>
                <w:bCs/>
                <w:color w:val="auto"/>
                <w:sz w:val="44"/>
                <w:szCs w:val="44"/>
                <w:lang w:val="ru-RU" w:eastAsia="zh-CN" w:bidi="ar-SA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C00000"/>
                <w:sz w:val="72"/>
                <w:szCs w:val="72"/>
                <w:lang w:val="ru-RU" w:eastAsia="zh-CN" w:bidi="ar-SA"/>
              </w:rPr>
              <w:t>Покров Пресвятой Богородицы</w:t>
            </w:r>
          </w:p>
        </w:tc>
        <w:tc>
          <w:tcPr>
            <w:tcW w:w="1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30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14 октября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rFonts w:hint="default" w:cs="Times New Roman"/>
                <w:b/>
                <w:sz w:val="44"/>
                <w:szCs w:val="44"/>
                <w:lang w:val="ru-RU" w:eastAsia="en-US" w:bidi="ar-SA"/>
              </w:rPr>
              <w:t>вторник</w:t>
            </w:r>
          </w:p>
        </w:tc>
        <w:tc>
          <w:tcPr>
            <w:tcW w:w="1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7DAF1" w:themeFill="tex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C00000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18 октября суббота</w:t>
            </w:r>
          </w:p>
        </w:tc>
        <w:tc>
          <w:tcPr>
            <w:tcW w:w="11139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40"/>
                <w:szCs w:val="40"/>
                <w:lang w:val="ru-RU" w:eastAsia="zh-CN" w:bidi="ar-SA"/>
              </w:rPr>
              <w:t>П А Н И Х И Д А</w:t>
            </w:r>
          </w:p>
        </w:tc>
        <w:tc>
          <w:tcPr>
            <w:tcW w:w="1345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3065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</w:p>
        </w:tc>
        <w:tc>
          <w:tcPr>
            <w:tcW w:w="111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auto"/>
                <w:sz w:val="72"/>
                <w:szCs w:val="72"/>
                <w:lang w:val="ru-RU"/>
              </w:rPr>
              <w:t>Апостола</w:t>
            </w: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Фомы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19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октября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13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b/>
                <w:color w:val="000000"/>
                <w:sz w:val="40"/>
                <w:szCs w:val="40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0"/>
                <w:szCs w:val="40"/>
                <w:lang w:val="ru-RU"/>
              </w:rPr>
              <w:t xml:space="preserve"> святым по прошению прихожан</w:t>
            </w: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306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auto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21603B"/>
    <w:rsid w:val="00220570"/>
    <w:rsid w:val="0022693B"/>
    <w:rsid w:val="00227122"/>
    <w:rsid w:val="00235A1F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2F6F726B"/>
    <w:rsid w:val="2FFAF83F"/>
    <w:rsid w:val="37DB9A0A"/>
    <w:rsid w:val="3AF5C46B"/>
    <w:rsid w:val="3E5E5418"/>
    <w:rsid w:val="3F0D4A10"/>
    <w:rsid w:val="3F3FD149"/>
    <w:rsid w:val="3FF445BB"/>
    <w:rsid w:val="3FFF9442"/>
    <w:rsid w:val="4BFA8FC3"/>
    <w:rsid w:val="4FFE9BC9"/>
    <w:rsid w:val="5BB5A97F"/>
    <w:rsid w:val="5BBC7179"/>
    <w:rsid w:val="5F797813"/>
    <w:rsid w:val="63DDE315"/>
    <w:rsid w:val="6BFFC07D"/>
    <w:rsid w:val="6F7E6D98"/>
    <w:rsid w:val="72FC847F"/>
    <w:rsid w:val="73359121"/>
    <w:rsid w:val="79BD3E69"/>
    <w:rsid w:val="7B95364F"/>
    <w:rsid w:val="7BBC81B2"/>
    <w:rsid w:val="7BEF9916"/>
    <w:rsid w:val="7F666955"/>
    <w:rsid w:val="7F6FC0BA"/>
    <w:rsid w:val="AEB3C590"/>
    <w:rsid w:val="DB3BC5F9"/>
    <w:rsid w:val="DB9D6C8F"/>
    <w:rsid w:val="DDF37130"/>
    <w:rsid w:val="DFF1AA3B"/>
    <w:rsid w:val="DFFE4478"/>
    <w:rsid w:val="EAE9EDB2"/>
    <w:rsid w:val="EF9D29AE"/>
    <w:rsid w:val="F1CF180C"/>
    <w:rsid w:val="F8F79CB9"/>
    <w:rsid w:val="F97EBEC1"/>
    <w:rsid w:val="FBEF403F"/>
    <w:rsid w:val="FD7DB8AB"/>
    <w:rsid w:val="FDBD8B3C"/>
    <w:rsid w:val="FEFF8348"/>
    <w:rsid w:val="FF7EBFAB"/>
    <w:rsid w:val="FF93D454"/>
    <w:rsid w:val="FFF7F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99"/>
    <w:rPr>
      <w:rFonts w:cs="Times New Roman"/>
      <w:b/>
    </w:rPr>
  </w:style>
  <w:style w:type="paragraph" w:styleId="16">
    <w:name w:val="Title"/>
    <w:basedOn w:val="1"/>
    <w:next w:val="1"/>
    <w:link w:val="29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7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8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9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29">
    <w:name w:val="Заголовок Знак"/>
    <w:basedOn w:val="11"/>
    <w:link w:val="16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0">
    <w:name w:val="Подзаголовок Знак"/>
    <w:basedOn w:val="11"/>
    <w:link w:val="18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1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Слабое выделение1"/>
    <w:basedOn w:val="11"/>
    <w:qFormat/>
    <w:uiPriority w:val="99"/>
    <w:rPr>
      <w:i/>
    </w:rPr>
  </w:style>
  <w:style w:type="character" w:customStyle="1" w:styleId="38">
    <w:name w:val="Сильное выделение1"/>
    <w:basedOn w:val="11"/>
    <w:qFormat/>
    <w:uiPriority w:val="99"/>
    <w:rPr>
      <w:b/>
      <w:i/>
    </w:rPr>
  </w:style>
  <w:style w:type="character" w:customStyle="1" w:styleId="39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40">
    <w:name w:val="Сильная ссылка1"/>
    <w:basedOn w:val="11"/>
    <w:qFormat/>
    <w:uiPriority w:val="99"/>
    <w:rPr>
      <w:b/>
      <w:smallCaps/>
    </w:rPr>
  </w:style>
  <w:style w:type="character" w:customStyle="1" w:styleId="41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614</Characters>
  <Lines>3</Lines>
  <Paragraphs>1</Paragraphs>
  <TotalTime>9</TotalTime>
  <ScaleCrop>false</ScaleCrop>
  <LinksUpToDate>false</LinksUpToDate>
  <CharactersWithSpaces>699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2023-04-10T04:22:00Z</dcterms:created>
  <dc:creator>Ученик</dc:creator>
  <cp:lastModifiedBy>okkamov</cp:lastModifiedBy>
  <cp:lastPrinted>2025-09-27T20:37:29Z</cp:lastPrinted>
  <dcterms:modified xsi:type="dcterms:W3CDTF">2025-09-27T20:39:29Z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1830CE9D778C42FE94877B7D3C2601EB</vt:lpwstr>
  </property>
</Properties>
</file>